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Kunskap först i Botkyrkas skolor – mobilförbud, studiero och stärkt lärarstöd i alla kommundelar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kommuns elever i årskurs 9 har ett genomsnittligt meritvärde på 232,3 poäng (2025 enligt Kolada/Grundskola), vilket ligger över rikssnittet på 228,5. Lärarbehörigheten ligger på 72,3 procent. Trots det goda genomsnittet finns stora variationer mellan skolor och kommundelar, med segregationseffekter i områden som Hallunda-Norsborg och Alby enligt Skolverket och kommunens egna rapporter.</w:t>
      </w:r>
    </w:p>
    <w:p>
      <w:pPr>
        <w:spacing w:after="100"/>
      </w:pPr>
      <w:r>
        <w:t xml:space="preserve">Stök, mobilanvändning under lektioner och bristande studiero påverkar kunskapsresultaten negativt i flera skolor. Elever i socioekonomiskt utsatta områden har betydligt sämre förutsättningar. Moderaterna prioriterar kunskap, ordning och betyg – lärare ska få leda undervisningen utan att agera ordningsvakter. Den nya Eleonoraskolan (F–9, 915 elever) i Hallunda-Norsborg är en positiv satsning som behöver följas upp med tydliga ordningsregler.</w:t>
      </w:r>
    </w:p>
    <w:p>
      <w:pPr>
        <w:spacing w:after="100"/>
      </w:pPr>
      <w:r>
        <w:t xml:space="preserve">Andra kommuner har infört mobilförbud under lektionstid med goda resultat. Kombinerat med förstärkta lärarresurser, tydligare befogenheter för rektorer, ökad vuxennärvaro och riktade insatser mot frånvaro kan Botkyrka lyfta resultaten ytterligare i alla kommundelar. Skolan är nyckeln till integration, jobb och framtid för Botkyrkas ungdomar.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grundskolor i Botkyrka, med undantag för pedagogiskt motiverad användning, samt ta fram en gemensam policy för studiero och trygghet i 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 utbildningsförvaltningen i uppdrag att ta fram en handlingsplan för stärkt studiero och minskad skolfrånvaro, inklusive tydligare befogenheter för lärare och rektorer samt ökad vuxennärvaro i klassrum och på raster, med särskilt fokus på Hallunda-Norsborg, Alby och Fittja.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resurser för fler behöriga lärare, speciallärare och riktade insatser i skolor med lägre resultat i syfte att höja meritvärden, gymnasiebehörighet och likvärdighet mellan kommundelarna.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resultat, meritvärden, behörighet, lärarbehörighet och uppföljning av nationella prov samt frånvarostatistik till kommunfullmäktige, inklusive uppföljning av nya Eleonoraskolan.</w:t>
      </w:r>
    </w:p>
    <w:p>
      <w:pPr>
        <w:spacing w:before="360"/>
      </w:pPr>
    </w:p>
    <w:p>
      <w:r>
        <w:t xml:space="preserve">Botkyrka,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2026-06-06T01:48:20.008Z</dcterms:created>
  <dcterms:modified xsi:type="dcterms:W3CDTF">2026-06-06T01:48:20.008Z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